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DC510" w14:textId="77777777" w:rsidR="007014A4" w:rsidRPr="009C70C8" w:rsidRDefault="007014A4" w:rsidP="007014A4">
      <w:pPr>
        <w:spacing w:after="0" w:line="240" w:lineRule="auto"/>
        <w:jc w:val="center"/>
        <w:rPr>
          <w:rFonts w:ascii="Century Gothic" w:hAnsi="Century Gothic"/>
          <w:highlight w:val="yellow"/>
        </w:rPr>
      </w:pPr>
      <w:r w:rsidRPr="009C70C8">
        <w:rPr>
          <w:rFonts w:ascii="Century Gothic" w:hAnsi="Century Gothic"/>
          <w:highlight w:val="yellow"/>
        </w:rPr>
        <w:t xml:space="preserve">Submit your letters of support through the portal </w:t>
      </w:r>
      <w:hyperlink r:id="rId8" w:history="1">
        <w:r w:rsidRPr="009C70C8">
          <w:rPr>
            <w:rStyle w:val="Hyperlink"/>
            <w:rFonts w:ascii="Century Gothic" w:hAnsi="Century Gothic"/>
            <w:highlight w:val="yellow"/>
          </w:rPr>
          <w:t>https://calegislation.lc.ca.gov/Advocates/</w:t>
        </w:r>
      </w:hyperlink>
      <w:r w:rsidRPr="009C70C8">
        <w:rPr>
          <w:rFonts w:ascii="Century Gothic" w:hAnsi="Century Gothic"/>
          <w:highlight w:val="yellow"/>
        </w:rPr>
        <w:t xml:space="preserve">. Please </w:t>
      </w:r>
    </w:p>
    <w:p w14:paraId="3DDDB621" w14:textId="77777777" w:rsidR="007014A4" w:rsidRDefault="007014A4" w:rsidP="007014A4">
      <w:pPr>
        <w:spacing w:after="0" w:line="240" w:lineRule="auto"/>
        <w:jc w:val="center"/>
        <w:rPr>
          <w:rFonts w:ascii="Century Gothic" w:hAnsi="Century Gothic"/>
        </w:rPr>
      </w:pPr>
      <w:r w:rsidRPr="009C70C8">
        <w:rPr>
          <w:rFonts w:ascii="Century Gothic" w:hAnsi="Century Gothic"/>
          <w:highlight w:val="yellow"/>
        </w:rPr>
        <w:t xml:space="preserve">send a copy to Kelly Takasu at </w:t>
      </w:r>
      <w:hyperlink r:id="rId9" w:history="1">
        <w:r w:rsidRPr="009C70C8">
          <w:rPr>
            <w:rStyle w:val="Hyperlink"/>
            <w:rFonts w:ascii="Century Gothic" w:hAnsi="Century Gothic"/>
            <w:highlight w:val="yellow"/>
          </w:rPr>
          <w:t>ktakasu@alzla.org</w:t>
        </w:r>
      </w:hyperlink>
      <w:r w:rsidRPr="009C70C8">
        <w:rPr>
          <w:rFonts w:ascii="Century Gothic" w:hAnsi="Century Gothic"/>
          <w:highlight w:val="yellow"/>
        </w:rPr>
        <w:t xml:space="preserve"> or Monica Miller  </w:t>
      </w:r>
      <w:hyperlink r:id="rId10" w:history="1">
        <w:r w:rsidRPr="009C70C8">
          <w:rPr>
            <w:rStyle w:val="Hyperlink"/>
            <w:rFonts w:ascii="Century Gothic" w:hAnsi="Century Gothic"/>
            <w:highlight w:val="yellow"/>
          </w:rPr>
          <w:t>mmiller@sacadv.com</w:t>
        </w:r>
      </w:hyperlink>
      <w:r w:rsidRPr="009C70C8">
        <w:rPr>
          <w:rFonts w:ascii="Century Gothic" w:hAnsi="Century Gothic"/>
          <w:highlight w:val="yellow"/>
        </w:rPr>
        <w:t>.</w:t>
      </w:r>
    </w:p>
    <w:p w14:paraId="7DA0D61E" w14:textId="77777777" w:rsidR="007014A4" w:rsidRDefault="007014A4" w:rsidP="007014A4">
      <w:pPr>
        <w:spacing w:after="0" w:line="240" w:lineRule="auto"/>
        <w:rPr>
          <w:rFonts w:ascii="Century Gothic" w:hAnsi="Century Gothic"/>
        </w:rPr>
      </w:pPr>
    </w:p>
    <w:p w14:paraId="1E433DB4" w14:textId="77777777" w:rsidR="007014A4" w:rsidRDefault="007014A4" w:rsidP="007014A4">
      <w:pPr>
        <w:spacing w:after="0" w:line="240" w:lineRule="auto"/>
        <w:rPr>
          <w:rFonts w:ascii="Century Gothic" w:hAnsi="Century Gothic"/>
          <w:highlight w:val="yellow"/>
        </w:rPr>
      </w:pPr>
      <w:r>
        <w:rPr>
          <w:rFonts w:ascii="Century Gothic" w:hAnsi="Century Gothic"/>
          <w:highlight w:val="yellow"/>
        </w:rPr>
        <w:t>[ORGANIZATION LETTERHEAD]</w:t>
      </w:r>
    </w:p>
    <w:p w14:paraId="14A2DF29" w14:textId="77777777" w:rsidR="007014A4" w:rsidRDefault="007014A4" w:rsidP="007014A4">
      <w:pPr>
        <w:spacing w:after="0" w:line="240" w:lineRule="auto"/>
        <w:rPr>
          <w:rFonts w:ascii="Century Gothic" w:hAnsi="Century Gothic"/>
          <w:highlight w:val="yellow"/>
        </w:rPr>
      </w:pPr>
    </w:p>
    <w:p w14:paraId="4757E749" w14:textId="77777777" w:rsidR="007014A4" w:rsidRPr="006C4FBB" w:rsidRDefault="007014A4" w:rsidP="007014A4">
      <w:pPr>
        <w:spacing w:after="0" w:line="240" w:lineRule="auto"/>
        <w:rPr>
          <w:rFonts w:ascii="Century Gothic" w:hAnsi="Century Gothic"/>
        </w:rPr>
      </w:pPr>
      <w:r w:rsidRPr="00EB5E09">
        <w:rPr>
          <w:rFonts w:ascii="Century Gothic" w:hAnsi="Century Gothic"/>
          <w:highlight w:val="yellow"/>
        </w:rPr>
        <w:t>DATE</w:t>
      </w:r>
    </w:p>
    <w:p w14:paraId="1250A8A0" w14:textId="77777777" w:rsidR="007014A4" w:rsidRDefault="007014A4" w:rsidP="007014A4">
      <w:pPr>
        <w:spacing w:after="0" w:line="240" w:lineRule="auto"/>
        <w:rPr>
          <w:rFonts w:ascii="Century Gothic" w:hAnsi="Century Gothic"/>
        </w:rPr>
      </w:pPr>
    </w:p>
    <w:p w14:paraId="3B61B214" w14:textId="77777777" w:rsidR="007014A4" w:rsidRPr="008352A6" w:rsidRDefault="007014A4" w:rsidP="007014A4">
      <w:pPr>
        <w:spacing w:after="0" w:line="240" w:lineRule="auto"/>
        <w:rPr>
          <w:rFonts w:ascii="Century Gothic" w:hAnsi="Century Gothi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014A4" w14:paraId="6AA2BFDC" w14:textId="77777777" w:rsidTr="00546163">
        <w:tc>
          <w:tcPr>
            <w:tcW w:w="4675" w:type="dxa"/>
          </w:tcPr>
          <w:p w14:paraId="2DF98CB2" w14:textId="51F83E48" w:rsidR="007014A4" w:rsidRDefault="007014A4" w:rsidP="00546163">
            <w:pPr>
              <w:spacing w:after="0" w:line="240" w:lineRule="auto"/>
            </w:pPr>
            <w:r>
              <w:t xml:space="preserve">The Honorable </w:t>
            </w:r>
            <w:r w:rsidR="00CA4763">
              <w:t>Mia Bonta</w:t>
            </w:r>
          </w:p>
          <w:p w14:paraId="599763ED" w14:textId="0C769BE2" w:rsidR="007014A4" w:rsidRDefault="007014A4" w:rsidP="00546163">
            <w:pPr>
              <w:spacing w:after="0" w:line="240" w:lineRule="auto"/>
            </w:pPr>
            <w:r>
              <w:t xml:space="preserve">Committee on </w:t>
            </w:r>
            <w:r w:rsidR="00CA4763">
              <w:t>Health</w:t>
            </w:r>
          </w:p>
          <w:p w14:paraId="1FE15E15" w14:textId="1A689F09" w:rsidR="007014A4" w:rsidRDefault="007014A4" w:rsidP="00546163">
            <w:pPr>
              <w:spacing w:after="0" w:line="240" w:lineRule="auto"/>
            </w:pPr>
            <w:r>
              <w:t xml:space="preserve">California State </w:t>
            </w:r>
            <w:r w:rsidR="00CA4763">
              <w:t>Assembly</w:t>
            </w:r>
          </w:p>
          <w:p w14:paraId="23E2FD15" w14:textId="39251607" w:rsidR="007014A4" w:rsidRDefault="007014A4" w:rsidP="00546163">
            <w:pPr>
              <w:spacing w:after="0" w:line="240" w:lineRule="auto"/>
            </w:pPr>
            <w:r>
              <w:t xml:space="preserve">1020 N Street, Room </w:t>
            </w:r>
            <w:r w:rsidR="00C37F0D">
              <w:t>390</w:t>
            </w:r>
          </w:p>
          <w:p w14:paraId="5613E3F9" w14:textId="77777777" w:rsidR="007014A4" w:rsidRDefault="007014A4" w:rsidP="00546163">
            <w:pPr>
              <w:spacing w:after="0" w:line="240" w:lineRule="auto"/>
            </w:pPr>
            <w:r w:rsidRPr="00E676A0">
              <w:t>Sacramento, CA 95814</w:t>
            </w:r>
          </w:p>
          <w:p w14:paraId="541D9D06" w14:textId="77777777" w:rsidR="007014A4" w:rsidRDefault="007014A4" w:rsidP="00546163">
            <w:pPr>
              <w:spacing w:after="0" w:line="240" w:lineRule="auto"/>
            </w:pPr>
          </w:p>
        </w:tc>
        <w:tc>
          <w:tcPr>
            <w:tcW w:w="4675" w:type="dxa"/>
          </w:tcPr>
          <w:p w14:paraId="0F1DD9A8" w14:textId="1A4CCF2E" w:rsidR="007014A4" w:rsidRDefault="007014A4" w:rsidP="00546163">
            <w:pPr>
              <w:spacing w:after="0" w:line="240" w:lineRule="auto"/>
            </w:pPr>
            <w:r>
              <w:t xml:space="preserve">The Honorable </w:t>
            </w:r>
            <w:r w:rsidR="00D457CE">
              <w:t>Phillip Chen</w:t>
            </w:r>
            <w:r>
              <w:t>, Vice Chair</w:t>
            </w:r>
          </w:p>
          <w:p w14:paraId="0733B9C8" w14:textId="31B17320" w:rsidR="007014A4" w:rsidRDefault="007014A4" w:rsidP="00546163">
            <w:pPr>
              <w:spacing w:after="0" w:line="240" w:lineRule="auto"/>
            </w:pPr>
            <w:r>
              <w:t xml:space="preserve">Committee on </w:t>
            </w:r>
            <w:r w:rsidR="00C37F0D">
              <w:t>Health</w:t>
            </w:r>
          </w:p>
          <w:p w14:paraId="666AE686" w14:textId="363005E4" w:rsidR="007014A4" w:rsidRDefault="007014A4" w:rsidP="00546163">
            <w:pPr>
              <w:spacing w:after="0" w:line="240" w:lineRule="auto"/>
            </w:pPr>
            <w:r>
              <w:t>California State</w:t>
            </w:r>
            <w:r w:rsidR="005B5807">
              <w:t xml:space="preserve"> </w:t>
            </w:r>
            <w:r w:rsidR="00C37F0D">
              <w:t>Assembly</w:t>
            </w:r>
          </w:p>
          <w:p w14:paraId="2E1A9DB7" w14:textId="6656BBD1" w:rsidR="007014A4" w:rsidRDefault="007014A4" w:rsidP="00546163">
            <w:pPr>
              <w:spacing w:after="0" w:line="240" w:lineRule="auto"/>
            </w:pPr>
            <w:r>
              <w:t xml:space="preserve">1020 N Street, Room </w:t>
            </w:r>
            <w:r w:rsidR="00C37F0D">
              <w:t>390</w:t>
            </w:r>
          </w:p>
          <w:p w14:paraId="4E2132B2" w14:textId="77777777" w:rsidR="007014A4" w:rsidRDefault="007014A4" w:rsidP="00546163">
            <w:pPr>
              <w:spacing w:after="0" w:line="240" w:lineRule="auto"/>
            </w:pPr>
            <w:r>
              <w:t>Sacramento, CA 95814</w:t>
            </w:r>
          </w:p>
        </w:tc>
      </w:tr>
    </w:tbl>
    <w:p w14:paraId="00A75C07" w14:textId="77777777" w:rsidR="007014A4" w:rsidRPr="008352A6" w:rsidRDefault="007014A4" w:rsidP="007014A4">
      <w:pPr>
        <w:spacing w:after="0" w:line="240" w:lineRule="auto"/>
        <w:rPr>
          <w:rFonts w:ascii="Century Gothic" w:hAnsi="Century Gothic"/>
        </w:rPr>
      </w:pPr>
    </w:p>
    <w:p w14:paraId="2F822ABF" w14:textId="77777777" w:rsidR="007014A4" w:rsidRPr="004925D5" w:rsidRDefault="007014A4" w:rsidP="007014A4">
      <w:pPr>
        <w:spacing w:after="0" w:line="240" w:lineRule="auto"/>
        <w:rPr>
          <w:rFonts w:ascii="Century Gothic" w:hAnsi="Century Gothic"/>
        </w:rPr>
      </w:pPr>
    </w:p>
    <w:p w14:paraId="2FAEAFB0" w14:textId="26A9E4F9" w:rsidR="007014A4" w:rsidRPr="004925D5" w:rsidRDefault="007014A4" w:rsidP="007014A4">
      <w:pPr>
        <w:spacing w:after="0" w:line="240" w:lineRule="auto"/>
        <w:rPr>
          <w:rFonts w:ascii="Century Gothic" w:hAnsi="Century Gothic"/>
        </w:rPr>
      </w:pPr>
      <w:r w:rsidRPr="004925D5">
        <w:rPr>
          <w:rFonts w:ascii="Century Gothic" w:hAnsi="Century Gothic"/>
          <w:b/>
          <w:bCs/>
        </w:rPr>
        <w:t xml:space="preserve">RE: AB </w:t>
      </w:r>
      <w:r w:rsidR="005B2BA0">
        <w:rPr>
          <w:rFonts w:ascii="Century Gothic" w:hAnsi="Century Gothic"/>
          <w:b/>
          <w:bCs/>
        </w:rPr>
        <w:t>960</w:t>
      </w:r>
      <w:r w:rsidRPr="004925D5">
        <w:rPr>
          <w:rFonts w:ascii="Century Gothic" w:hAnsi="Century Gothic"/>
          <w:b/>
          <w:bCs/>
        </w:rPr>
        <w:t xml:space="preserve"> (</w:t>
      </w:r>
      <w:r w:rsidR="005B2BA0">
        <w:rPr>
          <w:rFonts w:ascii="Century Gothic" w:hAnsi="Century Gothic"/>
          <w:b/>
          <w:bCs/>
        </w:rPr>
        <w:t>Garcia</w:t>
      </w:r>
      <w:r w:rsidRPr="004925D5">
        <w:rPr>
          <w:rFonts w:ascii="Century Gothic" w:hAnsi="Century Gothic"/>
          <w:b/>
          <w:bCs/>
        </w:rPr>
        <w:t xml:space="preserve">) </w:t>
      </w:r>
      <w:r w:rsidR="005B2BA0">
        <w:rPr>
          <w:rFonts w:ascii="Century Gothic" w:hAnsi="Century Gothic"/>
          <w:b/>
          <w:bCs/>
        </w:rPr>
        <w:t xml:space="preserve">Patient Visitation </w:t>
      </w:r>
      <w:r w:rsidRPr="004925D5">
        <w:rPr>
          <w:rFonts w:ascii="Century Gothic" w:hAnsi="Century Gothic"/>
          <w:b/>
          <w:bCs/>
        </w:rPr>
        <w:t>– (Support)</w:t>
      </w:r>
    </w:p>
    <w:p w14:paraId="5B96D129" w14:textId="77777777" w:rsidR="007014A4" w:rsidRPr="004925D5" w:rsidRDefault="007014A4" w:rsidP="007014A4">
      <w:pPr>
        <w:spacing w:after="0" w:line="240" w:lineRule="auto"/>
        <w:rPr>
          <w:rFonts w:ascii="Century Gothic" w:hAnsi="Century Gothic"/>
        </w:rPr>
      </w:pPr>
    </w:p>
    <w:p w14:paraId="43E2E866" w14:textId="0C5E95BE" w:rsidR="007014A4" w:rsidRPr="004925D5" w:rsidRDefault="007014A4" w:rsidP="007014A4">
      <w:pPr>
        <w:spacing w:after="0" w:line="240" w:lineRule="auto"/>
        <w:rPr>
          <w:rFonts w:ascii="Century Gothic" w:hAnsi="Century Gothic"/>
        </w:rPr>
      </w:pPr>
      <w:r w:rsidRPr="004925D5">
        <w:rPr>
          <w:rFonts w:ascii="Century Gothic" w:hAnsi="Century Gothic"/>
        </w:rPr>
        <w:t xml:space="preserve">Dear </w:t>
      </w:r>
      <w:r w:rsidR="005B2BA0">
        <w:rPr>
          <w:rFonts w:ascii="Century Gothic" w:hAnsi="Century Gothic"/>
        </w:rPr>
        <w:t xml:space="preserve">Assemblymembers Bonta and </w:t>
      </w:r>
      <w:r w:rsidR="00B32762">
        <w:rPr>
          <w:rFonts w:ascii="Century Gothic" w:hAnsi="Century Gothic"/>
        </w:rPr>
        <w:t>Chen</w:t>
      </w:r>
      <w:r w:rsidRPr="004925D5">
        <w:rPr>
          <w:rFonts w:ascii="Century Gothic" w:hAnsi="Century Gothic"/>
        </w:rPr>
        <w:t>:</w:t>
      </w:r>
    </w:p>
    <w:p w14:paraId="72FA72C2" w14:textId="77777777" w:rsidR="007014A4" w:rsidRPr="004925D5" w:rsidRDefault="007014A4" w:rsidP="007014A4">
      <w:pPr>
        <w:spacing w:after="0" w:line="240" w:lineRule="auto"/>
        <w:rPr>
          <w:rFonts w:ascii="Century Gothic" w:hAnsi="Century Gothic"/>
        </w:rPr>
      </w:pPr>
    </w:p>
    <w:p w14:paraId="7AA0AAAB" w14:textId="794A52FB" w:rsidR="007014A4" w:rsidRDefault="007014A4" w:rsidP="007014A4">
      <w:pPr>
        <w:rPr>
          <w:rFonts w:ascii="Century Gothic" w:hAnsi="Century Gothic"/>
        </w:rPr>
      </w:pPr>
      <w:r w:rsidRPr="004925D5">
        <w:rPr>
          <w:rFonts w:ascii="Century Gothic" w:hAnsi="Century Gothic"/>
          <w:highlight w:val="yellow"/>
        </w:rPr>
        <w:t>[Organization Name</w:t>
      </w:r>
      <w:r w:rsidR="005B2BA0">
        <w:rPr>
          <w:rFonts w:ascii="Century Gothic" w:hAnsi="Century Gothic"/>
        </w:rPr>
        <w:t xml:space="preserve">] supports AB 960, </w:t>
      </w:r>
      <w:r w:rsidR="005B5807">
        <w:rPr>
          <w:rFonts w:ascii="Century Gothic" w:hAnsi="Century Gothic"/>
        </w:rPr>
        <w:t xml:space="preserve">which will increase patient visitation rights for people with demonstrated dementia needs. </w:t>
      </w:r>
    </w:p>
    <w:p w14:paraId="5067D647" w14:textId="01D917D9" w:rsidR="00C40E35" w:rsidRPr="00664428" w:rsidRDefault="00DC447B" w:rsidP="74620E9B">
      <w:pPr>
        <w:rPr>
          <w:rFonts w:ascii="Century Gothic" w:hAnsi="Century Gothic"/>
        </w:rPr>
      </w:pPr>
      <w:r w:rsidRPr="74620E9B">
        <w:rPr>
          <w:rFonts w:ascii="Century Gothic" w:hAnsi="Century Gothic"/>
        </w:rPr>
        <w:t xml:space="preserve">An estimated 719,000 people in California are living with </w:t>
      </w:r>
      <w:r w:rsidR="00CD0944" w:rsidRPr="74620E9B">
        <w:rPr>
          <w:rFonts w:ascii="Century Gothic" w:hAnsi="Century Gothic"/>
        </w:rPr>
        <w:t>Alzheimer’s</w:t>
      </w:r>
      <w:r w:rsidRPr="74620E9B">
        <w:rPr>
          <w:rFonts w:ascii="Century Gothic" w:hAnsi="Century Gothic"/>
        </w:rPr>
        <w:t xml:space="preserve"> disease</w:t>
      </w:r>
      <w:r w:rsidR="00CD0944" w:rsidRPr="74620E9B">
        <w:rPr>
          <w:rFonts w:ascii="Century Gothic" w:hAnsi="Century Gothic"/>
        </w:rPr>
        <w:t xml:space="preserve"> and other dementias</w:t>
      </w:r>
      <w:r w:rsidRPr="74620E9B">
        <w:rPr>
          <w:rFonts w:ascii="Century Gothic" w:hAnsi="Century Gothic"/>
        </w:rPr>
        <w:t xml:space="preserve"> [</w:t>
      </w:r>
      <w:hyperlink r:id="rId11">
        <w:r w:rsidRPr="74620E9B">
          <w:rPr>
            <w:rStyle w:val="Hyperlink"/>
            <w:rFonts w:ascii="Century Gothic" w:hAnsi="Century Gothic"/>
            <w:color w:val="auto"/>
          </w:rPr>
          <w:t>1</w:t>
        </w:r>
      </w:hyperlink>
      <w:r w:rsidRPr="74620E9B">
        <w:rPr>
          <w:rFonts w:ascii="Century Gothic" w:hAnsi="Century Gothic"/>
        </w:rPr>
        <w:t>]. They are mainly cared for by an estimated 1.3 million family members and friends, who provide support in all aspects of their lives including social, health, financial, and emotional support[</w:t>
      </w:r>
      <w:hyperlink r:id="rId12">
        <w:r w:rsidRPr="74620E9B">
          <w:rPr>
            <w:rStyle w:val="Hyperlink"/>
            <w:rFonts w:ascii="Century Gothic" w:hAnsi="Century Gothic"/>
            <w:color w:val="auto"/>
          </w:rPr>
          <w:t>1</w:t>
        </w:r>
      </w:hyperlink>
      <w:r w:rsidRPr="74620E9B">
        <w:rPr>
          <w:rFonts w:ascii="Century Gothic" w:hAnsi="Century Gothic"/>
        </w:rPr>
        <w:t xml:space="preserve">]. </w:t>
      </w:r>
      <w:r w:rsidR="009665C1" w:rsidRPr="74620E9B">
        <w:rPr>
          <w:rFonts w:ascii="Century Gothic" w:hAnsi="Century Gothic"/>
        </w:rPr>
        <w:t xml:space="preserve">Alzheimer’s disease is a progressive brain disorder that slowly destroys a person’s ability to think, act, </w:t>
      </w:r>
      <w:r w:rsidR="000213F1" w:rsidRPr="74620E9B">
        <w:rPr>
          <w:rFonts w:ascii="Century Gothic" w:hAnsi="Century Gothic"/>
        </w:rPr>
        <w:t xml:space="preserve">reason, and communicate. </w:t>
      </w:r>
      <w:r w:rsidR="00356A46" w:rsidRPr="74620E9B">
        <w:rPr>
          <w:rFonts w:ascii="Century Gothic" w:hAnsi="Century Gothic"/>
        </w:rPr>
        <w:t xml:space="preserve">Stigma and a lack of education about Alzheimer’s and other dementias </w:t>
      </w:r>
      <w:r w:rsidR="004C1383" w:rsidRPr="74620E9B">
        <w:rPr>
          <w:rFonts w:ascii="Century Gothic" w:hAnsi="Century Gothic"/>
        </w:rPr>
        <w:t xml:space="preserve">in the healthcare system </w:t>
      </w:r>
      <w:r w:rsidR="00DD0751" w:rsidRPr="74620E9B">
        <w:rPr>
          <w:rFonts w:ascii="Century Gothic" w:hAnsi="Century Gothic"/>
        </w:rPr>
        <w:t>can cause additional stress, burden, and frustration when interacting with a person with the disease.</w:t>
      </w:r>
      <w:r w:rsidR="00DC5F2A" w:rsidRPr="74620E9B">
        <w:rPr>
          <w:rFonts w:ascii="Century Gothic" w:hAnsi="Century Gothic"/>
        </w:rPr>
        <w:t xml:space="preserve"> </w:t>
      </w:r>
    </w:p>
    <w:p w14:paraId="244F0964" w14:textId="52E2317E" w:rsidR="00C40E35" w:rsidRPr="00664428" w:rsidRDefault="00513CA2" w:rsidP="00C40E35">
      <w:pPr>
        <w:rPr>
          <w:rFonts w:ascii="Century Gothic" w:hAnsi="Century Gothic"/>
        </w:rPr>
      </w:pPr>
      <w:r w:rsidRPr="74620E9B">
        <w:rPr>
          <w:rFonts w:ascii="Century Gothic" w:hAnsi="Century Gothic"/>
        </w:rPr>
        <w:t xml:space="preserve">Any </w:t>
      </w:r>
      <w:r w:rsidR="00076946" w:rsidRPr="74620E9B">
        <w:rPr>
          <w:rFonts w:ascii="Century Gothic" w:hAnsi="Century Gothic"/>
        </w:rPr>
        <w:t xml:space="preserve">time a person is hospitalized, it is serious, but for a person living with dementia, the </w:t>
      </w:r>
      <w:r w:rsidR="004A3BE1" w:rsidRPr="74620E9B">
        <w:rPr>
          <w:rFonts w:ascii="Century Gothic" w:hAnsi="Century Gothic"/>
        </w:rPr>
        <w:t xml:space="preserve">need to ensure that person receives dementia friendly support is vital to their care. </w:t>
      </w:r>
      <w:r w:rsidR="00C40E35" w:rsidRPr="74620E9B">
        <w:rPr>
          <w:rFonts w:ascii="Century Gothic" w:hAnsi="Century Gothic"/>
        </w:rPr>
        <w:t>Hospitalization of people with dementia often leads to an increase in behavioral and psychological symptoms in dementia and further cognitive decline [</w:t>
      </w:r>
      <w:hyperlink r:id="rId13" w:anchor="ref-CR1">
        <w:r w:rsidR="00C40E35" w:rsidRPr="74620E9B">
          <w:rPr>
            <w:rStyle w:val="Hyperlink"/>
            <w:rFonts w:ascii="Century Gothic" w:hAnsi="Century Gothic"/>
            <w:color w:val="auto"/>
          </w:rPr>
          <w:t>2</w:t>
        </w:r>
      </w:hyperlink>
      <w:r w:rsidR="00C40E35" w:rsidRPr="74620E9B">
        <w:rPr>
          <w:rFonts w:ascii="Century Gothic" w:hAnsi="Century Gothic"/>
        </w:rPr>
        <w:t>, </w:t>
      </w:r>
      <w:hyperlink r:id="rId14" w:anchor="ref-CR2">
        <w:r w:rsidR="00C40E35" w:rsidRPr="74620E9B">
          <w:rPr>
            <w:rStyle w:val="Hyperlink"/>
            <w:rFonts w:ascii="Century Gothic" w:hAnsi="Century Gothic"/>
            <w:color w:val="auto"/>
          </w:rPr>
          <w:t>3</w:t>
        </w:r>
      </w:hyperlink>
      <w:r w:rsidR="00C40E35" w:rsidRPr="74620E9B">
        <w:rPr>
          <w:rFonts w:ascii="Century Gothic" w:hAnsi="Century Gothic"/>
        </w:rPr>
        <w:t>, </w:t>
      </w:r>
      <w:hyperlink r:id="rId15" w:anchor="ref-CR4">
        <w:r w:rsidR="00C40E35" w:rsidRPr="74620E9B">
          <w:rPr>
            <w:rStyle w:val="Hyperlink"/>
            <w:rFonts w:ascii="Century Gothic" w:hAnsi="Century Gothic"/>
            <w:color w:val="auto"/>
          </w:rPr>
          <w:t>4</w:t>
        </w:r>
      </w:hyperlink>
      <w:r w:rsidR="00C40E35" w:rsidRPr="74620E9B">
        <w:rPr>
          <w:rFonts w:ascii="Century Gothic" w:hAnsi="Century Gothic"/>
        </w:rPr>
        <w:t>].</w:t>
      </w:r>
      <w:r w:rsidR="009E1FD9" w:rsidRPr="74620E9B">
        <w:rPr>
          <w:rFonts w:ascii="Century Gothic" w:hAnsi="Century Gothic"/>
        </w:rPr>
        <w:t xml:space="preserve"> They also may be at greater risk of experiencing delirium</w:t>
      </w:r>
      <w:r w:rsidR="002E063F" w:rsidRPr="74620E9B">
        <w:rPr>
          <w:rFonts w:ascii="Century Gothic" w:hAnsi="Century Gothic"/>
        </w:rPr>
        <w:t>, pain, thirst, and over-stimulation, mainly due to their impaired ability to communicate</w:t>
      </w:r>
      <w:r w:rsidR="00EC0952" w:rsidRPr="74620E9B">
        <w:rPr>
          <w:rFonts w:ascii="Century Gothic" w:hAnsi="Century Gothic"/>
        </w:rPr>
        <w:t xml:space="preserve"> [</w:t>
      </w:r>
      <w:hyperlink r:id="rId16" w:anchor="ref-CR5">
        <w:r w:rsidR="00EC0952" w:rsidRPr="74620E9B">
          <w:rPr>
            <w:rStyle w:val="Hyperlink"/>
            <w:rFonts w:ascii="Century Gothic" w:hAnsi="Century Gothic"/>
            <w:color w:val="auto"/>
          </w:rPr>
          <w:t>5</w:t>
        </w:r>
      </w:hyperlink>
      <w:r w:rsidR="00C95322">
        <w:t xml:space="preserve">, </w:t>
      </w:r>
      <w:hyperlink r:id="rId17" w:anchor="ref-CR6">
        <w:r w:rsidR="00C95322" w:rsidRPr="74620E9B">
          <w:rPr>
            <w:rStyle w:val="Hyperlink"/>
            <w:rFonts w:ascii="Century Gothic" w:hAnsi="Century Gothic"/>
            <w:color w:val="auto"/>
          </w:rPr>
          <w:t>6</w:t>
        </w:r>
      </w:hyperlink>
      <w:r w:rsidR="00EC0952" w:rsidRPr="74620E9B">
        <w:rPr>
          <w:rFonts w:ascii="Century Gothic" w:hAnsi="Century Gothic"/>
        </w:rPr>
        <w:t>].</w:t>
      </w:r>
      <w:r w:rsidR="002E063F" w:rsidRPr="74620E9B">
        <w:rPr>
          <w:rFonts w:ascii="Century Gothic" w:hAnsi="Century Gothic"/>
        </w:rPr>
        <w:t xml:space="preserve"> </w:t>
      </w:r>
      <w:r w:rsidR="00C40E35" w:rsidRPr="74620E9B">
        <w:rPr>
          <w:rFonts w:ascii="Century Gothic" w:hAnsi="Century Gothic"/>
        </w:rPr>
        <w:t xml:space="preserve"> </w:t>
      </w:r>
    </w:p>
    <w:p w14:paraId="0FFE73E3" w14:textId="3314DAAC" w:rsidR="00C40E35" w:rsidRDefault="00C40E35" w:rsidP="74620E9B">
      <w:pPr>
        <w:rPr>
          <w:rFonts w:ascii="Century Gothic" w:hAnsi="Century Gothic"/>
        </w:rPr>
      </w:pPr>
      <w:r w:rsidRPr="74620E9B">
        <w:rPr>
          <w:rFonts w:ascii="Century Gothic" w:hAnsi="Century Gothic"/>
        </w:rPr>
        <w:t>A family or friend caregiver can play an important role in the</w:t>
      </w:r>
      <w:r w:rsidR="00993CB0" w:rsidRPr="74620E9B">
        <w:rPr>
          <w:rFonts w:ascii="Century Gothic" w:hAnsi="Century Gothic"/>
        </w:rPr>
        <w:t>ir delivery of care for a person with dementia. In addition to providing stimu</w:t>
      </w:r>
      <w:r w:rsidR="001A6E80" w:rsidRPr="74620E9B">
        <w:rPr>
          <w:rFonts w:ascii="Century Gothic" w:hAnsi="Century Gothic"/>
        </w:rPr>
        <w:t>lation and emotional support, they may help facilitate communication between the patient and hospital staff</w:t>
      </w:r>
      <w:r w:rsidR="00B00B6B" w:rsidRPr="74620E9B">
        <w:rPr>
          <w:rFonts w:ascii="Century Gothic" w:hAnsi="Century Gothic"/>
        </w:rPr>
        <w:t xml:space="preserve">, provide vital patient history, and provide discharge care and planning. </w:t>
      </w:r>
      <w:r w:rsidR="526A5ACE" w:rsidRPr="74620E9B">
        <w:rPr>
          <w:rFonts w:ascii="Century Gothic" w:hAnsi="Century Gothic"/>
        </w:rPr>
        <w:t xml:space="preserve">This is particularly </w:t>
      </w:r>
      <w:r w:rsidR="526A5ACE" w:rsidRPr="74620E9B">
        <w:rPr>
          <w:rFonts w:ascii="Century Gothic" w:hAnsi="Century Gothic"/>
        </w:rPr>
        <w:lastRenderedPageBreak/>
        <w:t>important because</w:t>
      </w:r>
      <w:r w:rsidR="556D7C35" w:rsidRPr="74620E9B">
        <w:rPr>
          <w:rFonts w:ascii="Century Gothic" w:hAnsi="Century Gothic"/>
        </w:rPr>
        <w:t xml:space="preserve"> many people living with the disease may not receive a formal diagnosis or be aware of their condition. </w:t>
      </w:r>
      <w:r w:rsidR="00D2270B" w:rsidRPr="74620E9B">
        <w:rPr>
          <w:rFonts w:ascii="Century Gothic" w:hAnsi="Century Gothic"/>
        </w:rPr>
        <w:t xml:space="preserve">Yet many caregivers face challenges in remaining with the person with dementia throughout the duration of their hospital stay. </w:t>
      </w:r>
      <w:r w:rsidR="008F2775" w:rsidRPr="74620E9B">
        <w:rPr>
          <w:rFonts w:ascii="Century Gothic" w:hAnsi="Century Gothic"/>
        </w:rPr>
        <w:t xml:space="preserve">Separating the caregiver and patient increases </w:t>
      </w:r>
      <w:r w:rsidR="008C675D" w:rsidRPr="74620E9B">
        <w:rPr>
          <w:rFonts w:ascii="Century Gothic" w:hAnsi="Century Gothic"/>
        </w:rPr>
        <w:t xml:space="preserve">stress, </w:t>
      </w:r>
      <w:r w:rsidR="000949F1" w:rsidRPr="74620E9B">
        <w:rPr>
          <w:rFonts w:ascii="Century Gothic" w:hAnsi="Century Gothic"/>
        </w:rPr>
        <w:t>confusion, and frustration</w:t>
      </w:r>
      <w:r w:rsidR="00612AD4" w:rsidRPr="74620E9B">
        <w:rPr>
          <w:rFonts w:ascii="Century Gothic" w:hAnsi="Century Gothic"/>
        </w:rPr>
        <w:t xml:space="preserve">. </w:t>
      </w:r>
    </w:p>
    <w:p w14:paraId="3694BEEC" w14:textId="1FBED351" w:rsidR="00612AD4" w:rsidRDefault="00612AD4" w:rsidP="00DC447B">
      <w:pPr>
        <w:rPr>
          <w:rFonts w:ascii="Century Gothic" w:hAnsi="Century Gothic"/>
        </w:rPr>
      </w:pPr>
      <w:r w:rsidRPr="74620E9B">
        <w:rPr>
          <w:rFonts w:ascii="Century Gothic" w:hAnsi="Century Gothic"/>
        </w:rPr>
        <w:t xml:space="preserve">AB 960 would expand </w:t>
      </w:r>
      <w:r w:rsidR="1D79ABF0" w:rsidRPr="74620E9B">
        <w:rPr>
          <w:rFonts w:ascii="Century Gothic" w:hAnsi="Century Gothic"/>
        </w:rPr>
        <w:t>patients' rights</w:t>
      </w:r>
      <w:r w:rsidR="000C0528" w:rsidRPr="74620E9B">
        <w:rPr>
          <w:rFonts w:ascii="Century Gothic" w:hAnsi="Century Gothic"/>
        </w:rPr>
        <w:t xml:space="preserve"> to ensure that</w:t>
      </w:r>
      <w:r w:rsidR="00F536EC" w:rsidRPr="74620E9B">
        <w:rPr>
          <w:rFonts w:ascii="Century Gothic" w:hAnsi="Century Gothic"/>
        </w:rPr>
        <w:t xml:space="preserve"> they</w:t>
      </w:r>
      <w:r w:rsidR="000C0528" w:rsidRPr="74620E9B">
        <w:rPr>
          <w:rFonts w:ascii="Century Gothic" w:hAnsi="Century Gothic"/>
        </w:rPr>
        <w:t xml:space="preserve"> can have the chosen friends and family accompany them throughout the</w:t>
      </w:r>
      <w:r w:rsidR="00361AA4" w:rsidRPr="74620E9B">
        <w:rPr>
          <w:rFonts w:ascii="Century Gothic" w:hAnsi="Century Gothic"/>
        </w:rPr>
        <w:t xml:space="preserve">ir hospital stay. </w:t>
      </w:r>
      <w:r w:rsidR="00874379" w:rsidRPr="74620E9B">
        <w:rPr>
          <w:rFonts w:ascii="Century Gothic" w:hAnsi="Century Gothic"/>
        </w:rPr>
        <w:t xml:space="preserve">Caregivers should not have to </w:t>
      </w:r>
      <w:r w:rsidR="00387BA5" w:rsidRPr="74620E9B">
        <w:rPr>
          <w:rFonts w:ascii="Century Gothic" w:hAnsi="Century Gothic"/>
        </w:rPr>
        <w:t xml:space="preserve">fight and advocate </w:t>
      </w:r>
      <w:proofErr w:type="gramStart"/>
      <w:r w:rsidR="008812EC" w:rsidRPr="74620E9B">
        <w:rPr>
          <w:rFonts w:ascii="Century Gothic" w:hAnsi="Century Gothic"/>
        </w:rPr>
        <w:t>to stay</w:t>
      </w:r>
      <w:proofErr w:type="gramEnd"/>
      <w:r w:rsidR="008812EC" w:rsidRPr="74620E9B">
        <w:rPr>
          <w:rFonts w:ascii="Century Gothic" w:hAnsi="Century Gothic"/>
        </w:rPr>
        <w:t xml:space="preserve"> with a loved one. This bill would create standardization across all hospitals in California, so that all </w:t>
      </w:r>
      <w:r w:rsidR="00D52E94" w:rsidRPr="74620E9B">
        <w:rPr>
          <w:rFonts w:ascii="Century Gothic" w:hAnsi="Century Gothic"/>
        </w:rPr>
        <w:t>people with demonstrate</w:t>
      </w:r>
      <w:r w:rsidR="4A12EF75" w:rsidRPr="74620E9B">
        <w:rPr>
          <w:rFonts w:ascii="Century Gothic" w:hAnsi="Century Gothic"/>
        </w:rPr>
        <w:t>d</w:t>
      </w:r>
      <w:r w:rsidR="00D52E94" w:rsidRPr="74620E9B">
        <w:rPr>
          <w:rFonts w:ascii="Century Gothic" w:hAnsi="Century Gothic"/>
        </w:rPr>
        <w:t xml:space="preserve"> dementia needs can have the support they need. </w:t>
      </w:r>
    </w:p>
    <w:p w14:paraId="052E6D71" w14:textId="3F97AD62" w:rsidR="00843DE6" w:rsidRDefault="00A3209E" w:rsidP="00DC447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We urge your support for AB 960 to help ensure that those living with dementia in California </w:t>
      </w:r>
      <w:r w:rsidR="00E855D7">
        <w:rPr>
          <w:rFonts w:ascii="Century Gothic" w:hAnsi="Century Gothic"/>
        </w:rPr>
        <w:t xml:space="preserve">can have the support of friends and family during times of crisis. </w:t>
      </w:r>
    </w:p>
    <w:p w14:paraId="05AEE174" w14:textId="417EDC4D" w:rsidR="00E855D7" w:rsidRDefault="00E855D7" w:rsidP="00DC447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Sincerely, </w:t>
      </w:r>
    </w:p>
    <w:p w14:paraId="5D919F14" w14:textId="77777777" w:rsidR="00664428" w:rsidRDefault="00E855D7" w:rsidP="00DC447B">
      <w:pPr>
        <w:rPr>
          <w:rFonts w:ascii="Century Gothic" w:hAnsi="Century Gothic"/>
        </w:rPr>
      </w:pPr>
      <w:r w:rsidRPr="00664428">
        <w:rPr>
          <w:rFonts w:ascii="Century Gothic" w:hAnsi="Century Gothic"/>
          <w:highlight w:val="yellow"/>
        </w:rPr>
        <w:t>NAME</w:t>
      </w:r>
      <w:r w:rsidR="00664428" w:rsidRPr="00664428">
        <w:rPr>
          <w:rFonts w:ascii="Century Gothic" w:hAnsi="Century Gothic"/>
          <w:highlight w:val="yellow"/>
        </w:rPr>
        <w:t>, TITLE</w:t>
      </w:r>
    </w:p>
    <w:p w14:paraId="4D0B15DA" w14:textId="5995A96D" w:rsidR="00E855D7" w:rsidRDefault="00E855D7" w:rsidP="00DC447B">
      <w:pPr>
        <w:rPr>
          <w:rFonts w:ascii="Century Gothic" w:hAnsi="Century Gothic"/>
        </w:rPr>
      </w:pPr>
      <w:r w:rsidRPr="00664428">
        <w:rPr>
          <w:rFonts w:ascii="Century Gothic" w:hAnsi="Century Gothic"/>
          <w:highlight w:val="yellow"/>
        </w:rPr>
        <w:t>ORG</w:t>
      </w:r>
      <w:r w:rsidR="00664428" w:rsidRPr="00664428">
        <w:rPr>
          <w:rFonts w:ascii="Century Gothic" w:hAnsi="Century Gothic"/>
          <w:highlight w:val="yellow"/>
        </w:rPr>
        <w:t>ANIZATION</w:t>
      </w:r>
    </w:p>
    <w:p w14:paraId="6105602F" w14:textId="77777777" w:rsidR="00664428" w:rsidRDefault="00664428" w:rsidP="00DC447B">
      <w:pPr>
        <w:rPr>
          <w:rFonts w:ascii="Century Gothic" w:hAnsi="Century Gothic"/>
        </w:rPr>
      </w:pPr>
    </w:p>
    <w:p w14:paraId="7210B74D" w14:textId="77777777" w:rsidR="00664428" w:rsidRPr="00664428" w:rsidRDefault="00664428" w:rsidP="00664428">
      <w:pPr>
        <w:rPr>
          <w:rFonts w:ascii="Century Gothic" w:hAnsi="Century Gothic"/>
          <w:b/>
          <w:bCs/>
          <w:sz w:val="18"/>
          <w:szCs w:val="18"/>
        </w:rPr>
      </w:pPr>
      <w:r w:rsidRPr="00664428">
        <w:rPr>
          <w:rFonts w:ascii="Century Gothic" w:hAnsi="Century Gothic"/>
          <w:b/>
          <w:bCs/>
          <w:sz w:val="18"/>
          <w:szCs w:val="18"/>
        </w:rPr>
        <w:t>References</w:t>
      </w:r>
    </w:p>
    <w:p w14:paraId="0654F478" w14:textId="77777777" w:rsidR="00664428" w:rsidRPr="00664428" w:rsidRDefault="00664428" w:rsidP="00664428">
      <w:pPr>
        <w:numPr>
          <w:ilvl w:val="0"/>
          <w:numId w:val="1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664428">
        <w:rPr>
          <w:rFonts w:ascii="Century Gothic" w:hAnsi="Century Gothic"/>
          <w:sz w:val="18"/>
          <w:szCs w:val="18"/>
        </w:rPr>
        <w:t xml:space="preserve">Alzheimer’s Association. 2024 Alzheimer’s Disease Facts and Figures. </w:t>
      </w:r>
      <w:proofErr w:type="spellStart"/>
      <w:r w:rsidRPr="00664428">
        <w:rPr>
          <w:rFonts w:ascii="Century Gothic" w:hAnsi="Century Gothic"/>
          <w:sz w:val="18"/>
          <w:szCs w:val="18"/>
        </w:rPr>
        <w:t>Alzheimers</w:t>
      </w:r>
      <w:proofErr w:type="spellEnd"/>
      <w:r w:rsidRPr="00664428">
        <w:rPr>
          <w:rFonts w:ascii="Century Gothic" w:hAnsi="Century Gothic"/>
          <w:sz w:val="18"/>
          <w:szCs w:val="18"/>
        </w:rPr>
        <w:t xml:space="preserve"> Dement 2024;20(5).</w:t>
      </w:r>
    </w:p>
    <w:p w14:paraId="04335DDD" w14:textId="77777777" w:rsidR="00664428" w:rsidRPr="00664428" w:rsidRDefault="00664428" w:rsidP="00664428">
      <w:pPr>
        <w:numPr>
          <w:ilvl w:val="0"/>
          <w:numId w:val="1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664428">
        <w:rPr>
          <w:rFonts w:ascii="Century Gothic" w:hAnsi="Century Gothic"/>
          <w:sz w:val="18"/>
          <w:szCs w:val="18"/>
        </w:rPr>
        <w:t>Dewing J, Dijk S. What is the current state of care for older people with dementia in general hospitals? A literature review. Dementia. 2016;15(1):106–24.</w:t>
      </w:r>
    </w:p>
    <w:p w14:paraId="41A49897" w14:textId="77777777" w:rsidR="00664428" w:rsidRPr="00664428" w:rsidRDefault="00664428" w:rsidP="00664428">
      <w:pPr>
        <w:numPr>
          <w:ilvl w:val="0"/>
          <w:numId w:val="1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664428">
        <w:rPr>
          <w:rFonts w:ascii="Century Gothic" w:hAnsi="Century Gothic"/>
          <w:sz w:val="18"/>
          <w:szCs w:val="18"/>
        </w:rPr>
        <w:t xml:space="preserve">Sampson EL, White N, </w:t>
      </w:r>
      <w:proofErr w:type="spellStart"/>
      <w:r w:rsidRPr="00664428">
        <w:rPr>
          <w:rFonts w:ascii="Century Gothic" w:hAnsi="Century Gothic"/>
          <w:sz w:val="18"/>
          <w:szCs w:val="18"/>
        </w:rPr>
        <w:t>Leurent</w:t>
      </w:r>
      <w:proofErr w:type="spellEnd"/>
      <w:r w:rsidRPr="00664428">
        <w:rPr>
          <w:rFonts w:ascii="Century Gothic" w:hAnsi="Century Gothic"/>
          <w:sz w:val="18"/>
          <w:szCs w:val="18"/>
        </w:rPr>
        <w:t xml:space="preserve"> B, Scott S, Lord K, Round J, et al. </w:t>
      </w:r>
      <w:proofErr w:type="spellStart"/>
      <w:r w:rsidRPr="00664428">
        <w:rPr>
          <w:rFonts w:ascii="Century Gothic" w:hAnsi="Century Gothic"/>
          <w:sz w:val="18"/>
          <w:szCs w:val="18"/>
        </w:rPr>
        <w:t>Behavioural</w:t>
      </w:r>
      <w:proofErr w:type="spellEnd"/>
      <w:r w:rsidRPr="00664428">
        <w:rPr>
          <w:rFonts w:ascii="Century Gothic" w:hAnsi="Century Gothic"/>
          <w:sz w:val="18"/>
          <w:szCs w:val="18"/>
        </w:rPr>
        <w:t xml:space="preserve"> and psychiatric symptoms in people with dementia admitted to the acute hospital: prospective cohort study. Br J Psychiatry. 2014;205(3):189–96.</w:t>
      </w:r>
    </w:p>
    <w:p w14:paraId="627EA043" w14:textId="77777777" w:rsidR="00664428" w:rsidRPr="00664428" w:rsidRDefault="00664428" w:rsidP="00664428">
      <w:pPr>
        <w:numPr>
          <w:ilvl w:val="0"/>
          <w:numId w:val="1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664428">
        <w:rPr>
          <w:rFonts w:ascii="Century Gothic" w:hAnsi="Century Gothic"/>
          <w:sz w:val="18"/>
          <w:szCs w:val="18"/>
        </w:rPr>
        <w:t xml:space="preserve">Hermann DM, Muck S, Nehen HG. Supporting dementia patients in hospital environments: health-related risks, needs and dedicated structures for patient care. </w:t>
      </w:r>
      <w:proofErr w:type="spellStart"/>
      <w:r w:rsidRPr="00664428">
        <w:rPr>
          <w:rFonts w:ascii="Century Gothic" w:hAnsi="Century Gothic"/>
          <w:sz w:val="18"/>
          <w:szCs w:val="18"/>
        </w:rPr>
        <w:t>Eur</w:t>
      </w:r>
      <w:proofErr w:type="spellEnd"/>
      <w:r w:rsidRPr="00664428">
        <w:rPr>
          <w:rFonts w:ascii="Century Gothic" w:hAnsi="Century Gothic"/>
          <w:sz w:val="18"/>
          <w:szCs w:val="18"/>
        </w:rPr>
        <w:t xml:space="preserve"> J Neurol. 2015;22(2):239–45 e17-8.</w:t>
      </w:r>
    </w:p>
    <w:p w14:paraId="2ED70827" w14:textId="77777777" w:rsidR="00664428" w:rsidRPr="00664428" w:rsidRDefault="00664428" w:rsidP="00664428">
      <w:pPr>
        <w:numPr>
          <w:ilvl w:val="0"/>
          <w:numId w:val="1"/>
        </w:numPr>
        <w:spacing w:after="160" w:line="259" w:lineRule="auto"/>
        <w:rPr>
          <w:rFonts w:ascii="Century Gothic" w:hAnsi="Century Gothic"/>
          <w:sz w:val="18"/>
          <w:szCs w:val="18"/>
        </w:rPr>
      </w:pPr>
      <w:proofErr w:type="spellStart"/>
      <w:r w:rsidRPr="00664428">
        <w:rPr>
          <w:rFonts w:ascii="Century Gothic" w:hAnsi="Century Gothic"/>
          <w:sz w:val="18"/>
          <w:szCs w:val="18"/>
        </w:rPr>
        <w:t>Reynish</w:t>
      </w:r>
      <w:proofErr w:type="spellEnd"/>
      <w:r w:rsidRPr="00664428">
        <w:rPr>
          <w:rFonts w:ascii="Century Gothic" w:hAnsi="Century Gothic"/>
          <w:sz w:val="18"/>
          <w:szCs w:val="18"/>
        </w:rPr>
        <w:t xml:space="preserve"> EL, </w:t>
      </w:r>
      <w:proofErr w:type="spellStart"/>
      <w:r w:rsidRPr="00664428">
        <w:rPr>
          <w:rFonts w:ascii="Century Gothic" w:hAnsi="Century Gothic"/>
          <w:sz w:val="18"/>
          <w:szCs w:val="18"/>
        </w:rPr>
        <w:t>Hapca</w:t>
      </w:r>
      <w:proofErr w:type="spellEnd"/>
      <w:r w:rsidRPr="00664428">
        <w:rPr>
          <w:rFonts w:ascii="Century Gothic" w:hAnsi="Century Gothic"/>
          <w:sz w:val="18"/>
          <w:szCs w:val="18"/>
        </w:rPr>
        <w:t xml:space="preserve"> SM, De Souza N, Cvoro V, Donnan PT, Guthrie B. Epidemiology and outcomes of people with dementia, delirium, and unspecified cognitive impairment in the general hospital: prospective cohort study of 10,014 admissions. BMC Med. 2017;15(1):140.</w:t>
      </w:r>
    </w:p>
    <w:p w14:paraId="0A608388" w14:textId="77777777" w:rsidR="00664428" w:rsidRPr="00664428" w:rsidRDefault="00664428" w:rsidP="00664428">
      <w:pPr>
        <w:numPr>
          <w:ilvl w:val="0"/>
          <w:numId w:val="1"/>
        </w:numPr>
        <w:spacing w:after="160" w:line="259" w:lineRule="auto"/>
        <w:rPr>
          <w:rFonts w:ascii="Century Gothic" w:hAnsi="Century Gothic"/>
          <w:sz w:val="18"/>
          <w:szCs w:val="18"/>
        </w:rPr>
      </w:pPr>
      <w:r w:rsidRPr="00664428">
        <w:rPr>
          <w:rFonts w:ascii="Century Gothic" w:hAnsi="Century Gothic"/>
          <w:sz w:val="18"/>
          <w:szCs w:val="18"/>
        </w:rPr>
        <w:t xml:space="preserve">Bridges J, Wilkinson C. Achieving dignity for older people with dementia in hospital. </w:t>
      </w:r>
      <w:proofErr w:type="spellStart"/>
      <w:r w:rsidRPr="00664428">
        <w:rPr>
          <w:rFonts w:ascii="Century Gothic" w:hAnsi="Century Gothic"/>
          <w:sz w:val="18"/>
          <w:szCs w:val="18"/>
        </w:rPr>
        <w:t>Nurs</w:t>
      </w:r>
      <w:proofErr w:type="spellEnd"/>
      <w:r w:rsidRPr="00664428">
        <w:rPr>
          <w:rFonts w:ascii="Century Gothic" w:hAnsi="Century Gothic"/>
          <w:sz w:val="18"/>
          <w:szCs w:val="18"/>
        </w:rPr>
        <w:t xml:space="preserve"> Stand. 2011;25(29):42–7 quiz 8.</w:t>
      </w:r>
    </w:p>
    <w:p w14:paraId="2ECC6378" w14:textId="77777777" w:rsidR="00664428" w:rsidRPr="00664428" w:rsidRDefault="00664428" w:rsidP="00DC447B">
      <w:pPr>
        <w:rPr>
          <w:rFonts w:ascii="Century Gothic" w:hAnsi="Century Gothic"/>
          <w:b/>
          <w:bCs/>
        </w:rPr>
      </w:pPr>
    </w:p>
    <w:p w14:paraId="1623F23F" w14:textId="77777777" w:rsidR="00D52E94" w:rsidRDefault="00D52E94" w:rsidP="00DC447B">
      <w:pPr>
        <w:rPr>
          <w:rFonts w:ascii="Century Gothic" w:hAnsi="Century Gothic"/>
        </w:rPr>
      </w:pPr>
    </w:p>
    <w:p w14:paraId="40C53664" w14:textId="77777777" w:rsidR="00B00B6B" w:rsidRDefault="00B00B6B" w:rsidP="00DC447B">
      <w:pPr>
        <w:rPr>
          <w:rFonts w:ascii="Century Gothic" w:hAnsi="Century Gothic"/>
        </w:rPr>
      </w:pPr>
    </w:p>
    <w:p w14:paraId="5B9A2EB0" w14:textId="77777777" w:rsidR="00C33317" w:rsidRPr="00123FBB" w:rsidRDefault="00C33317" w:rsidP="00DC447B">
      <w:pPr>
        <w:rPr>
          <w:rFonts w:ascii="Century Gothic" w:hAnsi="Century Gothic"/>
        </w:rPr>
      </w:pPr>
    </w:p>
    <w:p w14:paraId="46EABBB6" w14:textId="77777777" w:rsidR="005B5807" w:rsidRDefault="005B5807" w:rsidP="007014A4"/>
    <w:sectPr w:rsidR="005B5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A27A9" w14:textId="77777777" w:rsidR="00B32D67" w:rsidRDefault="00B32D67" w:rsidP="0092691C">
      <w:pPr>
        <w:spacing w:after="0" w:line="240" w:lineRule="auto"/>
      </w:pPr>
      <w:r>
        <w:separator/>
      </w:r>
    </w:p>
  </w:endnote>
  <w:endnote w:type="continuationSeparator" w:id="0">
    <w:p w14:paraId="37CFA64E" w14:textId="77777777" w:rsidR="00B32D67" w:rsidRDefault="00B32D67" w:rsidP="0092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EADEA" w14:textId="77777777" w:rsidR="00B32D67" w:rsidRDefault="00B32D67" w:rsidP="0092691C">
      <w:pPr>
        <w:spacing w:after="0" w:line="240" w:lineRule="auto"/>
      </w:pPr>
      <w:r>
        <w:separator/>
      </w:r>
    </w:p>
  </w:footnote>
  <w:footnote w:type="continuationSeparator" w:id="0">
    <w:p w14:paraId="398814C0" w14:textId="77777777" w:rsidR="00B32D67" w:rsidRDefault="00B32D67" w:rsidP="00926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830AC"/>
    <w:multiLevelType w:val="multilevel"/>
    <w:tmpl w:val="F1142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199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A4"/>
    <w:rsid w:val="000213F1"/>
    <w:rsid w:val="00076946"/>
    <w:rsid w:val="000949F1"/>
    <w:rsid w:val="000C0528"/>
    <w:rsid w:val="001A6E80"/>
    <w:rsid w:val="00240927"/>
    <w:rsid w:val="002E063F"/>
    <w:rsid w:val="00356A46"/>
    <w:rsid w:val="00361AA4"/>
    <w:rsid w:val="00387BA5"/>
    <w:rsid w:val="004A3BE1"/>
    <w:rsid w:val="004C1383"/>
    <w:rsid w:val="004D56F3"/>
    <w:rsid w:val="00513CA2"/>
    <w:rsid w:val="00581D5C"/>
    <w:rsid w:val="005B2BA0"/>
    <w:rsid w:val="005B5807"/>
    <w:rsid w:val="00612AD4"/>
    <w:rsid w:val="00664428"/>
    <w:rsid w:val="007014A4"/>
    <w:rsid w:val="00837A42"/>
    <w:rsid w:val="00843DE6"/>
    <w:rsid w:val="00874379"/>
    <w:rsid w:val="008812EC"/>
    <w:rsid w:val="008C675D"/>
    <w:rsid w:val="008F2775"/>
    <w:rsid w:val="0092691C"/>
    <w:rsid w:val="009665C1"/>
    <w:rsid w:val="00993CB0"/>
    <w:rsid w:val="009E1FD9"/>
    <w:rsid w:val="00A3209E"/>
    <w:rsid w:val="00B00B6B"/>
    <w:rsid w:val="00B05B25"/>
    <w:rsid w:val="00B32762"/>
    <w:rsid w:val="00B32D67"/>
    <w:rsid w:val="00C33317"/>
    <w:rsid w:val="00C37F0D"/>
    <w:rsid w:val="00C40E35"/>
    <w:rsid w:val="00C45CE4"/>
    <w:rsid w:val="00C70127"/>
    <w:rsid w:val="00C95322"/>
    <w:rsid w:val="00CA4763"/>
    <w:rsid w:val="00CD0944"/>
    <w:rsid w:val="00D2270B"/>
    <w:rsid w:val="00D457CE"/>
    <w:rsid w:val="00D52E94"/>
    <w:rsid w:val="00D81FEA"/>
    <w:rsid w:val="00DC447B"/>
    <w:rsid w:val="00DC5F2A"/>
    <w:rsid w:val="00DD0751"/>
    <w:rsid w:val="00E855D7"/>
    <w:rsid w:val="00EA60C4"/>
    <w:rsid w:val="00EC0952"/>
    <w:rsid w:val="00F536EC"/>
    <w:rsid w:val="1D79ABF0"/>
    <w:rsid w:val="23963A2C"/>
    <w:rsid w:val="3920C9C2"/>
    <w:rsid w:val="399E527A"/>
    <w:rsid w:val="432EF556"/>
    <w:rsid w:val="4A12EF75"/>
    <w:rsid w:val="526A5ACE"/>
    <w:rsid w:val="556D7C35"/>
    <w:rsid w:val="5A2EF9EA"/>
    <w:rsid w:val="7462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D6195"/>
  <w15:chartTrackingRefBased/>
  <w15:docId w15:val="{7D11B671-F50E-430E-B3E7-E69216BD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4A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4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4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4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4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4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4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4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4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4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4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4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4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4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4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14A4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7014A4"/>
    <w:pPr>
      <w:spacing w:after="0" w:line="240" w:lineRule="auto"/>
    </w:pPr>
    <w:rPr>
      <w:rFonts w:ascii="Century Gothic" w:hAnsi="Century Gothic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269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691C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9269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gislation.lc.ca.gov/Advocates/" TargetMode="External"/><Relationship Id="rId13" Type="http://schemas.openxmlformats.org/officeDocument/2006/relationships/hyperlink" Target="https://bmchealthservres.biomedcentral.com/articles/10.1186/s12913-020-05618-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lz.org/media/documents/alzheimers-facts-and-figures.pdf" TargetMode="External"/><Relationship Id="rId17" Type="http://schemas.openxmlformats.org/officeDocument/2006/relationships/hyperlink" Target="https://bmchealthservres.biomedcentral.com/articles/10.1186/s12913-020-05618-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mchealthservres.biomedcentral.com/articles/10.1186/s12913-020-05618-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lz.org/media/documents/alzheimers-facts-and-figure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mchealthservres.biomedcentral.com/articles/10.1186/s12913-020-05618-3" TargetMode="External"/><Relationship Id="rId10" Type="http://schemas.openxmlformats.org/officeDocument/2006/relationships/hyperlink" Target="mailto:mmiller@sacadv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takasu@alzla.org" TargetMode="External"/><Relationship Id="rId14" Type="http://schemas.openxmlformats.org/officeDocument/2006/relationships/hyperlink" Target="https://bmchealthservres.biomedcentral.com/articles/10.1186/s12913-020-05618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598F5-57B0-4253-8E05-6A529AA1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Takasu</dc:creator>
  <cp:keywords/>
  <dc:description/>
  <cp:lastModifiedBy>Kelly Takasu</cp:lastModifiedBy>
  <cp:revision>53</cp:revision>
  <dcterms:created xsi:type="dcterms:W3CDTF">2025-02-27T23:57:00Z</dcterms:created>
  <dcterms:modified xsi:type="dcterms:W3CDTF">2025-04-03T18:16:00Z</dcterms:modified>
</cp:coreProperties>
</file>